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E6A" w:rsidRDefault="00C66E6A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4"/>
        <w:gridCol w:w="10369"/>
        <w:gridCol w:w="220"/>
        <w:gridCol w:w="253"/>
      </w:tblGrid>
      <w:tr w:rsidR="00C66E6A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E6A" w:rsidRDefault="002130CA">
            <w:pPr>
              <w:pStyle w:val="normal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E6A" w:rsidRDefault="00C66E6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10755" w:type="dxa"/>
              <w:tblInd w:w="0" w:type="dxa"/>
              <w:tblLayout w:type="fixed"/>
              <w:tblLook w:val="0600"/>
            </w:tblPr>
            <w:tblGrid>
              <w:gridCol w:w="10755"/>
            </w:tblGrid>
            <w:tr w:rsidR="00C66E6A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C66E6A" w:rsidRDefault="002130CA">
                  <w:pPr>
                    <w:pStyle w:val="normal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C66E6A" w:rsidRDefault="00C66E6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6E6A" w:rsidRDefault="00C66E6A">
            <w:pPr>
              <w:pStyle w:val="normal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6A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E6A" w:rsidRDefault="002130CA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E6A" w:rsidRDefault="002130CA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66E6A" w:rsidRDefault="00C66E6A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66E6A" w:rsidRDefault="00C66E6A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6A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E6A" w:rsidRDefault="002130CA">
            <w:pPr>
              <w:pStyle w:val="normal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E6A" w:rsidRDefault="00C66E6A">
            <w:pPr>
              <w:pStyle w:val="normal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6E6A" w:rsidRDefault="00C66E6A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6E6A" w:rsidRDefault="00C66E6A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6E6A" w:rsidRDefault="002130CA">
            <w:pPr>
              <w:pStyle w:val="normal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C66E6A" w:rsidRDefault="00C66E6A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7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6"/>
        <w:gridCol w:w="2644"/>
        <w:gridCol w:w="220"/>
        <w:gridCol w:w="427"/>
        <w:gridCol w:w="2751"/>
        <w:gridCol w:w="220"/>
      </w:tblGrid>
      <w:tr w:rsidR="00C66E6A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66E6A" w:rsidRDefault="002130CA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C66E6A" w:rsidRDefault="002130CA">
            <w:pPr>
              <w:pStyle w:val="normal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:rsidR="00C66E6A" w:rsidRDefault="00C66E6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E6A" w:rsidRDefault="002130C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  <w:lang w:val="ru-RU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E6A" w:rsidRDefault="00C66E6A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E6A" w:rsidRDefault="00C66E6A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E6A" w:rsidRDefault="00C66E6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9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781"/>
            </w:tblGrid>
            <w:tr w:rsidR="00C66E6A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66E6A" w:rsidRDefault="00C66E6A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66E6A" w:rsidRDefault="00C66E6A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F26F0" w:rsidRDefault="008F26F0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C66E6A" w:rsidRDefault="002130CA">
                  <w:pPr>
                    <w:pStyle w:val="normal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:rsidR="00C66E6A" w:rsidRDefault="00C66E6A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E6A" w:rsidRDefault="00C66E6A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 оценки качества по организации социальной сферы, в отношении которой проведена независимая оценка качества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Чобщ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общее число опрошенных получателей услуг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Пинф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Соответствие информации о деятельности организации социальной сферы, раз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proofErr w:type="gramEnd"/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ресурсах установлено законодательными и иными нормативными правовыми актами Российской Федерации (сайт)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ктами Российской Федерации (стенд)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информационных стендах в помещении организации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официальном сайте организации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каждый дистанционный способ взаимодействия с получ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ателями услуг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Поткруд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социальной сферы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пностью информации, размещенной на официальном сайте организации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оциальной сферы комфортных условий предоставления услуг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личество баллов за каждое комфортное условие предоставления услуг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комфортных условий предоставления услуг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комфортностью пре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доставления услуг организацией социальной сферы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 удовлетворенных комфортностью предоставления услуг организацией социальной сферы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Оборудование помещений организации социальной сферы и прилегающей к ней территории с учетом доступности для инвалидов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 организации для инвалидов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 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ганизации для инвалидов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условий доступности, позволяющих инвалидам получать услуги наравне с другими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доступности, позволяющее инвалидам получать услуги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наравне с другими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доступности, позволяющих инвалидам получать услуги наравне с другими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Пдостуд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доступностью услуг для инвалидов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Чинв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опрошенных получателей услуг-инвалидов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услуг-инвалидов, удовлетворенных доступностью услуг для инвалидов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Пперв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 - Доля получателей 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Уперв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Показ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слугуд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феры, обеспечивающих непосредственное оказание услуги при обращении в организацию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Уоказ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Пвежл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Увежл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отников организации при использовании дистанционных форм взаимодействия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которые готовы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екомендовать организацию родственникам и знакомым (могли бы ее рекомендовать, если бы была возможность выбора организации)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Уорг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организационными условиями предоставления услуг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уг, удовлетворенных организационными условиями предоставления услуг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в целом условиями оказания услуг в организации социальной сферы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 в организации социальной сферы</w:t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C66E6A" w:rsidRDefault="002130CA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55"/>
      </w:tblGrid>
      <w:tr w:rsidR="00C66E6A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C66E6A" w:rsidRDefault="00C66E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</w:t>
      </w:r>
      <w:r>
        <w:rPr>
          <w:rFonts w:ascii="Times New Roman" w:eastAsia="Times New Roman" w:hAnsi="Times New Roman" w:cs="Times New Roman"/>
          <w:sz w:val="24"/>
          <w:szCs w:val="24"/>
        </w:rPr>
        <w:t>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актов, перечень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техническом задании к договору (контракту), в рамках которой проводилась данная процедура.</w:t>
      </w:r>
    </w:p>
    <w:p w:rsidR="00C66E6A" w:rsidRDefault="00C66E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C66E6A" w:rsidRDefault="00C66E6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зированной информации рассчитан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итоговый показатель оценки качества организации.</w:t>
      </w:r>
    </w:p>
    <w:p w:rsidR="00C66E6A" w:rsidRDefault="00C66E6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C66E6A" w:rsidRDefault="00C66E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приведена информация о распределении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E6A" w:rsidRDefault="00C66E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4125"/>
        <w:gridCol w:w="2850"/>
        <w:gridCol w:w="3060"/>
      </w:tblGrid>
      <w:tr w:rsidR="00C66E6A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66E6A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C66E6A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E6A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6A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6A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E6A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66E6A" w:rsidRDefault="002130CA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C66E6A" w:rsidRDefault="00C66E6A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C66E6A" w:rsidRDefault="00C66E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услуг»</w:t>
      </w:r>
    </w:p>
    <w:p w:rsidR="00C66E6A" w:rsidRDefault="00C66E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C66E6A" w:rsidRDefault="00C66E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C66E6A" w:rsidRDefault="00C66E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</w:t>
      </w:r>
      <w:r>
        <w:rPr>
          <w:rFonts w:ascii="Times New Roman" w:eastAsia="Times New Roman" w:hAnsi="Times New Roman" w:cs="Times New Roman"/>
          <w:sz w:val="24"/>
          <w:szCs w:val="24"/>
        </w:rPr>
        <w:t>й критерий оценки качества «Удовлетворенность условиями оказания услуг»</w:t>
      </w:r>
    </w:p>
    <w:p w:rsidR="00C66E6A" w:rsidRDefault="00C66E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Открытость,  Комфортность, Доступность услуг, Доброжелательность, Удовле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творенность. </w:t>
      </w:r>
    </w:p>
    <w:p w:rsidR="00C66E6A" w:rsidRDefault="00C66E6A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c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C66E6A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C66E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C66E6A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C66E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C66E6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C66E6A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66E6A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6E6A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6E6A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6E6A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6E6A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54,88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92,84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85,00</w:t>
            </w:r>
          </w:p>
        </w:tc>
      </w:tr>
      <w:tr w:rsidR="00C66E6A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88,40</w:t>
            </w:r>
          </w:p>
        </w:tc>
      </w:tr>
      <w:tr w:rsidR="00C66E6A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82,60</w:t>
            </w:r>
          </w:p>
        </w:tc>
      </w:tr>
      <w:tr w:rsidR="00C66E6A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5,80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66E6A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C66E6A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  <w:tr w:rsidR="00C66E6A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МОАУ ООШ № 3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C66E6A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МОАУГ № 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94,2</w:t>
            </w:r>
          </w:p>
        </w:tc>
      </w:tr>
      <w:tr w:rsidR="00C66E6A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МОАУ ООШ № 22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88,40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</w:tr>
      <w:tr w:rsidR="00C66E6A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МДОАУ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 № 29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C66E6A">
        <w:trPr>
          <w:trHeight w:val="566"/>
        </w:trPr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МДОАУ СШ № 3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94,6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2130C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ОБОБЩЕННЫЕ ВЫВОДЫ И РЕКОМЕНДАЦИИ ПО РЕЗУЛЬТАТАМ СБОРА, ОБОБЩЕНИЯ И АНАЛИЗА ИНФОРМАЦИИ</w:t>
      </w:r>
    </w:p>
    <w:p w:rsidR="00C66E6A" w:rsidRDefault="00C66E6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C66E6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C66E6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C66E6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C66E6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C66E6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C66E6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C66E6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C66E6A" w:rsidRDefault="002130C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C66E6A" w:rsidRDefault="00C66E6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10"/>
        <w:gridCol w:w="7020"/>
      </w:tblGrid>
      <w:tr w:rsidR="00C66E6A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C66E6A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C66E6A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C66E6A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C66E6A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</w:tbl>
    <w:p w:rsidR="00C66E6A" w:rsidRDefault="00C66E6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2130C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66E6A" w:rsidRDefault="002130C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 инвалидам получать услуги наравне с другими.*</w:t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</w:t>
      </w:r>
      <w:r>
        <w:rPr>
          <w:rFonts w:ascii="Times New Roman" w:eastAsia="Times New Roman" w:hAnsi="Times New Roman" w:cs="Times New Roman"/>
          <w:sz w:val="24"/>
          <w:szCs w:val="24"/>
        </w:rPr>
        <w:t>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7140"/>
      </w:tblGrid>
      <w:tr w:rsidR="00C66E6A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МОАУГ № 8; МОАУ ООШ № 22; МДОАУ СШ № 3;</w:t>
            </w:r>
          </w:p>
        </w:tc>
      </w:tr>
      <w:tr w:rsidR="00C66E6A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МОАУ ООШ № 3;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АУГ № 8; МДОАУ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29; МДОАУ СШ № 3;</w:t>
            </w:r>
          </w:p>
        </w:tc>
      </w:tr>
      <w:tr w:rsidR="00C66E6A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МОАУГ № 8; МДОАУ СШ № 3;</w:t>
            </w:r>
          </w:p>
        </w:tc>
      </w:tr>
      <w:tr w:rsidR="00C66E6A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МОАУ ООШ № 3; МОАУГ № 8; МОАУ ООШ № 22; МДОАУ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29; МДОАУ СШ № 3;</w:t>
            </w:r>
          </w:p>
        </w:tc>
      </w:tr>
      <w:tr w:rsidR="00C66E6A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МОАУГ № 8; МОАУ ООШ № 22; МДОАУ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29; МДОАУ СШ № 3;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90"/>
        <w:gridCol w:w="7125"/>
      </w:tblGrid>
      <w:tr w:rsidR="00C66E6A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МОАУГ № 8; МОАУ ООШ № 22; МДОАУ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29; МДОАУ СШ № 3;</w:t>
            </w:r>
          </w:p>
        </w:tc>
      </w:tr>
      <w:tr w:rsidR="00C66E6A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МОАУ ООШ № 3; МОАУГ № 8; МДОАУ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29; МДОАУ СШ № 3;</w:t>
            </w:r>
          </w:p>
        </w:tc>
      </w:tr>
      <w:tr w:rsidR="00C66E6A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требуется обеспечить условия: МОАУ ООШ № 3; МОАУГ № 8; МОАУ ООШ № 22; МДОАУ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29; МДОАУ СШ № 3;</w:t>
            </w:r>
          </w:p>
        </w:tc>
      </w:tr>
      <w:tr w:rsidR="00C66E6A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обеспечены в полном объеме</w:t>
            </w:r>
          </w:p>
        </w:tc>
      </w:tr>
      <w:tr w:rsidR="00C66E6A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МОАУГ № 8; МДОАУ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29;</w:t>
            </w:r>
          </w:p>
        </w:tc>
      </w:tr>
      <w:tr w:rsidR="00C66E6A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МДОАУ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 29; МДОАУ СШ № 3;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10755" w:type="dxa"/>
        <w:tblInd w:w="-60" w:type="dxa"/>
        <w:tblLayout w:type="fixed"/>
        <w:tblLook w:val="0600"/>
      </w:tblPr>
      <w:tblGrid>
        <w:gridCol w:w="10755"/>
      </w:tblGrid>
      <w:tr w:rsidR="00C66E6A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Федерации. Требования к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отражены в приказе Федеральной службы по надзору в сфере образования и науки "Об утверждении Требований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структуре официального сайта образовательной организации в информационно-телекоммуникационной сети "Интернет" и формату представления информации".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3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05"/>
        <w:gridCol w:w="3510"/>
      </w:tblGrid>
      <w:tr w:rsidR="00C66E6A">
        <w:trPr>
          <w:trHeight w:val="60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(при наличии) наименование образовательной организации. Информация о дате создания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57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учредителе, учредителях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филиалов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режиме, графике работы: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70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3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63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структурных подразделениях (об органах управления) с приложением копий указанных положений (при их наличии))*: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финансово-хозяйственной деятельности образовательной организации или бюджетные сметы образовательной организации: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2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по основным вопросам организации и осуществления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7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правила внутреннего трудового распорядка и коллективный договор: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0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ещена</w:t>
            </w:r>
          </w:p>
        </w:tc>
      </w:tr>
      <w:tr w:rsidR="00C66E6A">
        <w:trPr>
          <w:trHeight w:val="54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реализуемых уровнях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формах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5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нормативных сроках обучения: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2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7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учебных планах реализуемых образовательных программ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15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календарных учебных графиках с приложением их копий: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реализуемых образовательных программах: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4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7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0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42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0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21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 организации, его заместителях, руководителях филиалов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организации (при их наличии):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88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 (при наличии)*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48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73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9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8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и условиях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стипендий, мер социальной поддержки: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4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количестве жилых помещений в общежитии, интернате для иногородних обучающихся, формировании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за проживание в общежитии (при наличии)*:</w:t>
            </w:r>
            <w:proofErr w:type="gramEnd"/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4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трудоустройстве выпускников (при наличии)*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36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наличии и порядке оказания платных образовательных услуг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5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79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37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 (перевода):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1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материально-техническом обеспечении образовательной деятельности для использования инвалидами и лицами с ОВЗ: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112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810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специальных условиях питания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мация размещена</w:t>
            </w:r>
          </w:p>
        </w:tc>
      </w:tr>
      <w:tr w:rsidR="00C66E6A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специальных условиях охраны здоровья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приспособленных для использования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алидами и лицами с ограниченными возможностями здоровья электронных образовательных ресурсах, к которым обеспечивается доступ обучающихся: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ользования для инвалидов и лиц с ограниченными возможностями здоровья: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инвалидами и лицами с ОВЗ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и планируемые к заключению договоры с иностранными и (или) международными организациями по вопросам образования и науки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C66E6A">
        <w:trPr>
          <w:trHeight w:val="645"/>
        </w:trPr>
        <w:tc>
          <w:tcPr>
            <w:tcW w:w="7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Международная аккредитация образовательных программ (при наличии)*: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овании: абонентский номер телефона, </w:t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 или гиперссылки на нее).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 РЕЗУЛЬТАТЫ СБОРА, ОБОБЩЕНИЯ И АНАЛИЗА ИНФОРМАЦИИ О СООТВЕТСТВИИ СТЕНДОВ УСТАНОВЛЕННЫМ ТРЕБОВАНИЯМ В ЧАСТИ РАЗ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МЕЩЕНИЯ ОБЯЗАТЕЛЬНОЙ ИНФОРМАЦИИ*</w:t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обязательной к размещению на стенде информации: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af4"/>
        <w:tblW w:w="104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440"/>
      </w:tblGrid>
      <w:tr w:rsidR="00C66E6A">
        <w:trPr>
          <w:trHeight w:val="450"/>
        </w:trPr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филиалов (при наличии)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режиме, графике работы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контактных телефонах и об адресах электронной почты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- Информация о структуре и об органах управления образовательно</w:t>
            </w:r>
            <w:r>
              <w:rPr>
                <w:rFonts w:ascii="Times New Roman" w:eastAsia="Times New Roman" w:hAnsi="Times New Roman" w:cs="Times New Roman"/>
              </w:rPr>
              <w:t>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</w:t>
            </w:r>
            <w:r>
              <w:rPr>
                <w:rFonts w:ascii="Times New Roman" w:eastAsia="Times New Roman" w:hAnsi="Times New Roman" w:cs="Times New Roman"/>
              </w:rPr>
              <w:t>труктурных подразделений (при наличии); адреса электронной почты структурных подразделений (при наличии)</w:t>
            </w:r>
            <w:proofErr w:type="gramEnd"/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Лицензии на осуществление образовательной деятельности (с приложениями)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Свидетельства о государственной аккредитации (с приложениями)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- Локальные н</w:t>
            </w:r>
            <w:r>
              <w:rPr>
                <w:rFonts w:ascii="Times New Roman" w:eastAsia="Times New Roman" w:hAnsi="Times New Roman" w:cs="Times New Roman"/>
              </w:rPr>
              <w:t>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</w:t>
            </w:r>
            <w:r>
              <w:rPr>
                <w:rFonts w:ascii="Times New Roman" w:eastAsia="Times New Roman" w:hAnsi="Times New Roman" w:cs="Times New Roman"/>
              </w:rPr>
              <w:t xml:space="preserve">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</w:t>
            </w:r>
            <w:r>
              <w:rPr>
                <w:rFonts w:ascii="Times New Roman" w:eastAsia="Times New Roman" w:hAnsi="Times New Roman" w:cs="Times New Roman"/>
              </w:rPr>
              <w:t>авителями) несовершеннолетних обучающихся.</w:t>
            </w:r>
            <w:proofErr w:type="gramEnd"/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правила внутреннего трудового распорядка и коллективный договор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Документ о порядке оказания платных образовательных услуг (при наличии), в том числе образец договора</w:t>
            </w:r>
            <w:r>
              <w:rPr>
                <w:rFonts w:ascii="Times New Roman" w:eastAsia="Times New Roman" w:hAnsi="Times New Roman" w:cs="Times New Roman"/>
              </w:rPr>
              <w:t xml:space="preserve"> об оказании платных образовательных услуг, документ об утверждении стоимости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каждой образовательной программе*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об учебных планах реализуемых образовательных программ с приложением их копий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реализуемых образовательны</w:t>
            </w:r>
            <w:r>
              <w:rPr>
                <w:rFonts w:ascii="Times New Roman" w:eastAsia="Times New Roman" w:hAnsi="Times New Roman" w:cs="Times New Roman"/>
              </w:rPr>
              <w:t>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об использовании при реализации указанных о</w:t>
            </w:r>
            <w:r>
              <w:rPr>
                <w:rFonts w:ascii="Times New Roman" w:eastAsia="Times New Roman" w:hAnsi="Times New Roman" w:cs="Times New Roman"/>
              </w:rPr>
              <w:t>бразовательных программ электронного обучения и дистанционных образовательных технологий (при наличии)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- 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</w:t>
            </w:r>
            <w:r>
              <w:rPr>
                <w:rFonts w:ascii="Times New Roman" w:eastAsia="Times New Roman" w:hAnsi="Times New Roman" w:cs="Times New Roman"/>
              </w:rPr>
              <w:t>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  <w:proofErr w:type="gramEnd"/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Информация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условиях питания обучающихся, в том числе инвалидов и лиц с ограниченными возмож</w:t>
            </w:r>
            <w:r>
              <w:rPr>
                <w:rFonts w:ascii="Times New Roman" w:eastAsia="Times New Roman" w:hAnsi="Times New Roman" w:cs="Times New Roman"/>
              </w:rPr>
              <w:t>ностями здоровья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Информация о наличии и условиях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стипендий, мер социальной поддержки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Информация о наличии и порядке оказания платных образовательных услуг (при наличии)*</w:t>
            </w:r>
          </w:p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- Информация о количестве вакантных мест для приема (пе</w:t>
            </w:r>
            <w:r>
              <w:rPr>
                <w:rFonts w:ascii="Times New Roman" w:eastAsia="Times New Roman" w:hAnsi="Times New Roman" w:cs="Times New Roman"/>
              </w:rPr>
              <w:t>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</w:t>
            </w:r>
            <w:r>
              <w:rPr>
                <w:rFonts w:ascii="Times New Roman" w:eastAsia="Times New Roman" w:hAnsi="Times New Roman" w:cs="Times New Roman"/>
              </w:rPr>
              <w:t>ии за счет средств физических и (или) юридических лиц)</w:t>
            </w:r>
            <w:proofErr w:type="gramEnd"/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стендах информация размещена в соответствии с утвержденным перечнем. 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10" w:type="dxa"/>
        <w:tblInd w:w="-60" w:type="dxa"/>
        <w:tblLayout w:type="fixed"/>
        <w:tblLook w:val="0600"/>
      </w:tblPr>
      <w:tblGrid>
        <w:gridCol w:w="8790"/>
        <w:gridCol w:w="1620"/>
      </w:tblGrid>
      <w:tr w:rsidR="00C66E6A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</w:p>
        </w:tc>
      </w:tr>
      <w:tr w:rsidR="00C66E6A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</w:tr>
      <w:tr w:rsidR="00C66E6A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C66E6A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C66E6A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66E6A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6E6A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</w:tr>
      <w:tr w:rsidR="00C66E6A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C66E6A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C66E6A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C66E6A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организационными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C66E6A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/>
      </w:tblPr>
      <w:tblGrid>
        <w:gridCol w:w="8775"/>
        <w:gridCol w:w="1635"/>
      </w:tblGrid>
      <w:tr w:rsidR="00C66E6A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84,04%</w:t>
            </w:r>
          </w:p>
        </w:tc>
      </w:tr>
      <w:tr w:rsidR="00C66E6A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89,42%</w:t>
            </w:r>
          </w:p>
        </w:tc>
      </w:tr>
      <w:tr w:rsidR="00C66E6A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85,00%</w:t>
            </w:r>
          </w:p>
        </w:tc>
      </w:tr>
      <w:tr w:rsidR="00C66E6A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93,34%</w:t>
            </w:r>
          </w:p>
        </w:tc>
      </w:tr>
      <w:tr w:rsidR="00C66E6A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93,54%</w:t>
            </w:r>
          </w:p>
        </w:tc>
      </w:tr>
      <w:tr w:rsidR="00C66E6A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71,79%</w:t>
            </w:r>
          </w:p>
        </w:tc>
      </w:tr>
      <w:tr w:rsidR="00C66E6A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93,24%</w:t>
            </w:r>
          </w:p>
        </w:tc>
      </w:tr>
      <w:tr w:rsidR="00C66E6A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93,24%</w:t>
            </w:r>
          </w:p>
        </w:tc>
      </w:tr>
      <w:tr w:rsidR="00C66E6A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92,46%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ОРГАНИЗАЦИЯМИ, СЛЕДУЮЩИЕ ВОПРОСЫ: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ИЯ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C66E6A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- 5. Среднее значение - 85. Максимальное значение (в баллах) - 88,4. Минимальное значение - 82,6.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C66E6A" w:rsidRDefault="00C66E6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0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45"/>
        <w:gridCol w:w="7995"/>
        <w:gridCol w:w="1065"/>
      </w:tblGrid>
      <w:tr w:rsidR="00C66E6A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66E6A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ООШ № 22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88,40</w:t>
            </w:r>
          </w:p>
        </w:tc>
      </w:tr>
      <w:tr w:rsidR="00C66E6A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МОАУ ООШ № 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86,22</w:t>
            </w:r>
          </w:p>
        </w:tc>
      </w:tr>
      <w:tr w:rsidR="00C66E6A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МДОАУ СШ № 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83,94</w:t>
            </w:r>
          </w:p>
        </w:tc>
      </w:tr>
      <w:tr w:rsidR="00C66E6A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МДОАУ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 № 29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83,86</w:t>
            </w:r>
          </w:p>
        </w:tc>
      </w:tr>
      <w:tr w:rsidR="00C66E6A">
        <w:trPr>
          <w:trHeight w:val="566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МОАУГ № 8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82,60</w:t>
            </w:r>
          </w:p>
        </w:tc>
      </w:tr>
    </w:tbl>
    <w:p w:rsidR="00C66E6A" w:rsidRDefault="00C66E6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C66E6A" w:rsidRDefault="00C66E6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C66E6A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- 5. Среднее значение - 85. Максимальное значение (в баллах) - 88,4. Минимальное значение - 82,6.</w:t>
            </w:r>
          </w:p>
        </w:tc>
      </w:tr>
    </w:tbl>
    <w:p w:rsidR="00C66E6A" w:rsidRDefault="00C66E6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C66E6A" w:rsidRDefault="00C66E6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C66E6A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выявленных недостатков можно отнести отсутствие следующих условий: оборудование входных групп пандусами (подъемными платформами); наличие выделенных стоянок для автотранспортных средств инвалидов; наличие адаптирова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автотранспортных средств инвалидов;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адаптированных лифтов, поручней, расширенных дверных проемов; наличие сменных кресел-колясок;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специально оборудованных санитарно-гигиенических помещений в организации; дублирование для инвалидов по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предоставления услуг в дистанционном режиме или на дому;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E6A" w:rsidRDefault="002130C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C66E6A" w:rsidRDefault="00C66E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C66E6A" w:rsidRDefault="00C66E6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Организациям в индивидуальном порядке разработать и реализ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ии следующих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показателей независимой 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C66E6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 территории, прилегающей к зданиям организации, и помещений с учетом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доступности для инвалидов: наличие адаптированных лифтов, поручней, расширенных дверных проемов;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наравне с другими: дублирование для инвалидов по слуху и зрению звуковой и зрительной информации;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ческой информации знаками, выполненными рельефно-точечным шрифтом Брайля;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сурдопере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);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МОАУ ООШ № 3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- 86,22; Численность обучающихся - 96;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- 197; Доля респондентов - 2,05; К1 - 90,8;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- 164; - 141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К2 - 93,5;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- 87; К3 - 73,4;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- 7; К4 - 85,4;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- 137; К5 - 88;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- 171; Пуд - 87;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- 171; Пуд - 87. Сокращения и пояснения приведены на странице 2.</w:t>
            </w:r>
          </w:p>
        </w:tc>
      </w:tr>
    </w:tbl>
    <w:p w:rsidR="00C66E6A" w:rsidRDefault="00C66E6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ому - да.</w:t>
            </w:r>
            <w:proofErr w:type="gramEnd"/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изации: - да; 3. 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осуществления образовательной деятельности: - да; 13. 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платны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26. Информация о реализуемых образовательных программах: - да; 27. Информация о численности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28. Информация о языках, на которых осуществляется образование (обучение): - да; 29. Образовательные организации, реализующие общеобразо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сурсах, к которым обеспечивается доступ обучающихся: - да; 39. Информация о наличии и условиях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стипендий, мер социальной поддержки: - да; 40.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общежития, интерната, количестве жилых помещений в общежитии, инте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рнате для иногородних обучающихся, формировании платы за проживание в общежитии (при наличии)*: - да; 41.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трудоустройстве выпускников (при наличии)* - да; 42. Информация о наличии и порядке оказания платных образовательных услуг (при наличии)*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здоровья: - да; 50.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РАЗМЕЩЕННОЙ НА СТЕНДЕ ИНФОРМАЦИИ: недостатки не выявлены.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Обеспечение в организации условий доступности, позволяющих инвалидам получать услуги наравне с другими: дублирование надписей, знаков и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МОАУГ № 8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- 82,6; Численность обучающихся - 492;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- 252; Доля респондентов - 0,51; К1 - 92,4;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- 204; - 204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К2 - 92;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- 213;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- 84; К3 - 46;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К4 - 88,4;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- 236;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- 240;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- 64;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- 161; К5 - 94,2;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- 238;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- 239;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- 237; Пуд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- 237; Пуд - 94. Сокращения и пояснения приведены на странице 2.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дому - да.</w:t>
            </w:r>
            <w:proofErr w:type="gramEnd"/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организации: - да; 3. 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идетельства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и осуществления образовательной деятельности: - да; 13. 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латных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ании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граммы) с приложением их копий (при наличии): - да; 24.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цесса: - да; 26. Информация о реализуемых образовательных программах: - да; 27. Информация о численности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28. Информация о языках, на которых осуществляется образование (обучение): - да; 29. Образовательные организации, реализующие общео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ых ресурсах, к которым обеспечивается доступ обучающихся: - да; 39. Информация о наличии и условиях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стипендий, мер социальной поддержки: - да; 40.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общежития, интерната, количестве жилых помещений в общежитии,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интернате для иногородних обучающихся, формировании платы за проживание в общежитии (при наличии)*: - да; 41.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трудоустройстве выпускников (при наличии)* - да; 42. Информация о наличии и порядке оказания платных образовательных услуг (при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чии)*: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стями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лицами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 и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МОАУ ООШ № 22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- 88,4; Численность обучающихся - 153;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- 121; Доля респондентов - 0,79; К1 - 94,4;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- 110; - 98;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К2 - 98,5;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- 118;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- 97; К3 - 66,5;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- 75;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К4 - 87,2;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- 118;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- 118;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- 58; К5 - 95,4;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- 115;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- 117;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- 115; Пуд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- 115; Пуд - 95. Сокращения и пояснения приведены на странице 2.</w:t>
            </w:r>
          </w:p>
        </w:tc>
      </w:tr>
    </w:tbl>
    <w:p w:rsidR="00C66E6A" w:rsidRDefault="00C66E6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8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автотранспортных средств инвалидов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дому - да.</w:t>
            </w:r>
            <w:proofErr w:type="gramEnd"/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9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низации: - да; 3. 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осуществления образовательной деятельности: - да; 13. 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платн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а: - да; 26. Информация о реализуемых образовательных программах: - да; 27. Информация о численности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28. Информация о языках, на которых осуществляется образование (обучение): - да; 29. Образовательные организации, реализующие общеобраз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есурсах, к которым обеспечивается доступ обучающихся: - да; 39. Информация о наличии и условиях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стипендий, мер социальной поддержки: - да; 40.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общежития, интерната, количестве жилых помещений в общежитии, инт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ернате для иногородних обучающихся, формировании платы за проживание в общежитии (при наличии)*: - да; 41.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трудоустройстве выпускников (при наличии)* - да; 42. Информация о наличии и порядке оказания платных образовательных услуг (при наличии)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ЛИЗ РАЗМЕЩЕННОЙ НА СТЕНДЕ ИНФОРМАЦИИ: недостатки не выявлены.</w:t>
            </w:r>
          </w:p>
        </w:tc>
      </w:tr>
    </w:tbl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a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анитарно-гигиенических помещений в организации;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ПРИМЕЧАНИЕ: Информация в данном разделе носит рекомендательный хар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актер. Рекомендации вносятся и утверждаются Общественным советом.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b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ИНДИВИДУАЛЬНЫЕ РЕЗУЛЬТАТЫ. ОРГАНИЗАЦИЯ: МДОАУ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/с № 29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- 83,86; Численность обучающихся - 210;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- 222; Доля респондентов - 1,06; К1 - 94,8;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- 197; - 19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1; К2 - 96;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- 92; К3 - 46,7;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- 9; К4 - 89,8;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- 179; К5 - 92;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- 205; Пуд - 92;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- 205; Пуд - 92. Сокращения и пояснения приведены на странице 2.</w:t>
            </w:r>
          </w:p>
        </w:tc>
      </w:tr>
    </w:tbl>
    <w:p w:rsidR="00C66E6A" w:rsidRDefault="00C66E6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d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дому - нет.</w:t>
            </w:r>
            <w:proofErr w:type="gramEnd"/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e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рганизации: - да; 3. 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ии и осуществления образовательной деятельности: - да; 13. 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15. Документ о порядке оказания пл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атных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нии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раммы)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есса: - да; 26. Информация о реализуемых образовательных программах: - да; 27. Информация о численности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28. Информация о языках, на которых осуществляется образование (обучение): - да; 29. Образовательные организации, реализующие общеоб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ресурсах, к которым обеспечивается доступ обучающихся: - да; 39. Информация о наличии и условиях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стипендий, мер социальной поддержки: - да; 40.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общежития, интерната, количестве жилых помещений в общежитии,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интернате для иногородних обучающихся, формировании платы за проживание в общежитии (при наличии)*: - да; 41.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трудоустройстве выпускников (при наличии)* - да; 42. Информация о наличии и порядке оказания платных образовательных услуг (при налич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ии)*: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46. Информация о материально-техническом обеспечении образовательной деятельности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тями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ицами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и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 санитарно-гигиенических помещений в организации;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); ПРИМЕЧАНИЕ: Информация в данном разделе носит рекомендательный характер. Рекомендации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вносятся и утверждаются Общественным советом.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РЕЗУЛЬТАТЫ. ОРГАНИЗАЦИЯ: МДОАУ СШ № 3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- 83,94; Численность обучающихся - 433;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- 229; Доля респондентов - 0,53; К1 - 95,6;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- 211; - 19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6; К2 - 94,5;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К3 - 41,8;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- 14; К4 - 93,2;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- 217;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- 217;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- 198; К5 - 94,6;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- 219;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- 216; Пуд - 94;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- 216; Пуд - 94. Сокращения и пояснения приведены на странице 2.</w:t>
            </w:r>
          </w:p>
        </w:tc>
      </w:tr>
    </w:tbl>
    <w:p w:rsidR="00C66E6A" w:rsidRDefault="00C66E6A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наличие зоны отдыха (ожидания)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рованных лифтов, поручней, расширенных дверных проемов - нет;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дому - нет.</w:t>
            </w:r>
            <w:proofErr w:type="gramEnd"/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организации: - да; 3. 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идетельства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и осуществления образовательной деятельности: - да; 13. 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правила внутреннего трудового распорядка и коллективный договор: - да; 14.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- да;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15. Документ о порядке оказания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латных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да;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ании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цесса: - да; 26. Информация о реализуемых образовательных программах: - да; 27. Информация о численности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28. Информация о языках, на которых осуществляется образование (обучение): - да; 29. Образовательные организации, реализующие общео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ых ресурсах, к которым обеспечивается доступ обучающихся: - да; 39. Информация о наличии и условиях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стипендий, мер социальной поддержки: - да; 40.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общежития, интерната, количестве жилых помещений в общежитии,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интернате для иногородних обучающихся, формировании платы за проживание в общежитии (при наличии)*: - да; 41.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трудоустройстве выпускников (при наличии)* - да; 42. Информация о наличии и порядке оказания платных образовательных услуг (при нали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чии)*: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- да;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стями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лицами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 и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наличии)*: - да; 54. Заключенные и 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C66E6A" w:rsidRDefault="002130C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Style w:val="a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C66E6A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6E6A" w:rsidRDefault="002130CA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наличие адаптированных лифтов, поручней, расширенных дверных проемов;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для инвалидов по слуху и зрению звуковой и зрительной информации;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6E6A" w:rsidRDefault="00C66E6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C66E6A" w:rsidSect="00C66E6A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CA" w:rsidRDefault="002130CA" w:rsidP="00C66E6A">
      <w:pPr>
        <w:spacing w:line="240" w:lineRule="auto"/>
      </w:pPr>
      <w:r>
        <w:separator/>
      </w:r>
    </w:p>
  </w:endnote>
  <w:endnote w:type="continuationSeparator" w:id="0">
    <w:p w:rsidR="002130CA" w:rsidRDefault="002130CA" w:rsidP="00C66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6A" w:rsidRDefault="00C66E6A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C66E6A" w:rsidRDefault="00C66E6A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C66E6A" w:rsidRDefault="00C66E6A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CA" w:rsidRDefault="002130CA" w:rsidP="00C66E6A">
      <w:pPr>
        <w:spacing w:line="240" w:lineRule="auto"/>
      </w:pPr>
      <w:r>
        <w:separator/>
      </w:r>
    </w:p>
  </w:footnote>
  <w:footnote w:type="continuationSeparator" w:id="0">
    <w:p w:rsidR="002130CA" w:rsidRDefault="002130CA" w:rsidP="00C66E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6A" w:rsidRDefault="002130CA">
    <w:pPr>
      <w:pStyle w:val="normal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 сбора, обобщения и анализа информации о качестве условий оказания услуг организациями </w:t>
    </w:r>
  </w:p>
  <w:p w:rsidR="00C66E6A" w:rsidRDefault="00C66E6A">
    <w:pPr>
      <w:pStyle w:val="normal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D27"/>
    <w:multiLevelType w:val="multilevel"/>
    <w:tmpl w:val="2340C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E6A"/>
    <w:rsid w:val="002130CA"/>
    <w:rsid w:val="008F26F0"/>
    <w:rsid w:val="00C6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66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66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66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66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66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66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6E6A"/>
  </w:style>
  <w:style w:type="table" w:customStyle="1" w:styleId="TableNormal">
    <w:name w:val="Table Normal"/>
    <w:rsid w:val="00C66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6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66E6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C66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4">
    <w:name w:val="Balloon Text"/>
    <w:basedOn w:val="a"/>
    <w:link w:val="afffffffffffffffffffffffffffffffff5"/>
    <w:uiPriority w:val="99"/>
    <w:semiHidden/>
    <w:unhideWhenUsed/>
    <w:rsid w:val="008F2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5">
    <w:name w:val="Текст выноски Знак"/>
    <w:basedOn w:val="a0"/>
    <w:link w:val="afffffffffffffffffffffffffffffffff4"/>
    <w:uiPriority w:val="99"/>
    <w:semiHidden/>
    <w:rsid w:val="008F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12453</Words>
  <Characters>70986</Characters>
  <Application>Microsoft Office Word</Application>
  <DocSecurity>0</DocSecurity>
  <Lines>591</Lines>
  <Paragraphs>166</Paragraphs>
  <ScaleCrop>false</ScaleCrop>
  <Company/>
  <LinksUpToDate>false</LinksUpToDate>
  <CharactersWithSpaces>83273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Пользователь Windows</cp:lastModifiedBy>
  <cp:revision>2</cp:revision>
  <dcterms:created xsi:type="dcterms:W3CDTF">2023-12-04T12:33:00Z</dcterms:created>
  <dcterms:modified xsi:type="dcterms:W3CDTF">2023-12-04T12:33:00Z</dcterms:modified>
</cp:coreProperties>
</file>